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D9" w:rsidRDefault="00337890" w:rsidP="008044D9">
      <w:pPr>
        <w:pStyle w:val="Title"/>
        <w:numPr>
          <w:ilvl w:val="0"/>
          <w:numId w:val="0"/>
        </w:numPr>
        <w:spacing w:line="276" w:lineRule="auto"/>
      </w:pPr>
      <w:r>
        <w:t>Appendix 12</w:t>
      </w:r>
    </w:p>
    <w:p w:rsidR="00861AFF" w:rsidRPr="008044D9" w:rsidRDefault="003D4927" w:rsidP="008044D9">
      <w:pPr>
        <w:spacing w:before="240"/>
        <w:rPr>
          <w:b/>
          <w:sz w:val="28"/>
        </w:rPr>
      </w:pPr>
      <w:r>
        <w:rPr>
          <w:b/>
          <w:sz w:val="32"/>
        </w:rPr>
        <w:t xml:space="preserve">ANOVA – </w:t>
      </w:r>
      <w:r w:rsidR="00766C2B">
        <w:rPr>
          <w:b/>
          <w:sz w:val="32"/>
        </w:rPr>
        <w:t xml:space="preserve">Average </w:t>
      </w:r>
      <w:r w:rsidR="00337890">
        <w:rPr>
          <w:b/>
          <w:sz w:val="32"/>
        </w:rPr>
        <w:t>RGB Values</w:t>
      </w:r>
    </w:p>
    <w:p w:rsidR="00804F0A" w:rsidRDefault="00804F0A" w:rsidP="00C8690E">
      <w:pPr>
        <w:pStyle w:val="Heading1"/>
        <w:numPr>
          <w:ilvl w:val="0"/>
          <w:numId w:val="0"/>
        </w:numPr>
        <w:spacing w:line="276" w:lineRule="auto"/>
        <w:ind w:left="576" w:hanging="576"/>
      </w:pPr>
      <w:r>
        <w:t>Variance Due to Varying Drop Height</w:t>
      </w:r>
    </w:p>
    <w:p w:rsidR="00804F0A" w:rsidRDefault="00804F0A" w:rsidP="00831D41">
      <w:pPr>
        <w:spacing w:before="240" w:line="276" w:lineRule="auto"/>
      </w:pPr>
      <w:r>
        <w:t xml:space="preserve">For each characteristic, ANOVA was performed using a 0.05 (5%) level of significance, i.e. if the </w:t>
      </w:r>
      <w:r>
        <w:rPr>
          <w:i/>
        </w:rPr>
        <w:t>p</w:t>
      </w:r>
      <w:r>
        <w:t>-value obtained was less than 0.05, there would be a significant level of variance.</w:t>
      </w:r>
    </w:p>
    <w:p w:rsidR="00804F0A" w:rsidRPr="00804F0A" w:rsidRDefault="00766C2B" w:rsidP="00C8690E">
      <w:pPr>
        <w:pStyle w:val="Heading1"/>
      </w:pPr>
      <w:r>
        <w:t>Red Values</w:t>
      </w:r>
    </w:p>
    <w:p w:rsidR="00804F0A" w:rsidRDefault="00804F0A" w:rsidP="00831D41">
      <w:pPr>
        <w:spacing w:before="240" w:line="276" w:lineRule="auto"/>
      </w:pPr>
      <w:r>
        <w:t>H</w:t>
      </w:r>
      <w:r>
        <w:rPr>
          <w:vertAlign w:val="subscript"/>
        </w:rPr>
        <w:t>o</w:t>
      </w:r>
      <w:r>
        <w:t xml:space="preserve">: There is no difference between the </w:t>
      </w:r>
      <w:r w:rsidR="00766C2B">
        <w:t>red values obtained</w:t>
      </w:r>
      <w:r>
        <w:t xml:space="preserve"> as drop height is varied.</w:t>
      </w:r>
    </w:p>
    <w:p w:rsidR="00804F0A" w:rsidRDefault="00804F0A" w:rsidP="00831D41">
      <w:pPr>
        <w:spacing w:before="240" w:line="276" w:lineRule="auto"/>
      </w:pPr>
      <w:r>
        <w:t>H</w:t>
      </w:r>
      <w:r>
        <w:rPr>
          <w:vertAlign w:val="subscript"/>
        </w:rPr>
        <w:t>a</w:t>
      </w:r>
      <w:r>
        <w:t xml:space="preserve">: There is a difference between </w:t>
      </w:r>
      <w:r w:rsidR="00766C2B">
        <w:t>the red values obtained</w:t>
      </w:r>
      <w:r>
        <w:t xml:space="preserve"> as drop height is varied.</w:t>
      </w:r>
    </w:p>
    <w:p w:rsidR="00C8690E" w:rsidRDefault="00804F0A" w:rsidP="00831D41">
      <w:pPr>
        <w:tabs>
          <w:tab w:val="right" w:pos="9026"/>
        </w:tabs>
        <w:spacing w:before="240" w:line="276" w:lineRule="auto"/>
      </w:pPr>
      <w:r>
        <w:t>Dataset Used For Calculation:</w:t>
      </w:r>
    </w:p>
    <w:tbl>
      <w:tblPr>
        <w:tblStyle w:val="TableGrid"/>
        <w:tblpPr w:leftFromText="180" w:rightFromText="180" w:vertAnchor="text" w:horzAnchor="margin" w:tblpY="93"/>
        <w:tblW w:w="0" w:type="auto"/>
        <w:tblLook w:val="04A0"/>
      </w:tblPr>
      <w:tblGrid>
        <w:gridCol w:w="1981"/>
        <w:gridCol w:w="2087"/>
        <w:gridCol w:w="2311"/>
        <w:gridCol w:w="2693"/>
      </w:tblGrid>
      <w:tr w:rsidR="00766C2B" w:rsidTr="00766C2B">
        <w:trPr>
          <w:trHeight w:val="576"/>
        </w:trPr>
        <w:tc>
          <w:tcPr>
            <w:tcW w:w="198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rPr>
                <w:b/>
              </w:rPr>
              <w:t>Drop Height</w:t>
            </w: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  <w:r w:rsidRPr="00FD7C08">
              <w:rPr>
                <w:b/>
              </w:rPr>
              <w:t>5 cm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  <w:r w:rsidRPr="00FD7C08">
              <w:rPr>
                <w:b/>
              </w:rPr>
              <w:t>4 cm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  <w:r w:rsidRPr="00FD7C08">
              <w:rPr>
                <w:b/>
              </w:rPr>
              <w:t>3cm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 w:val="restart"/>
            <w:vAlign w:val="center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rPr>
                <w:b/>
              </w:rPr>
              <w:t>Average Red Values</w:t>
            </w:r>
          </w:p>
        </w:tc>
        <w:tc>
          <w:tcPr>
            <w:tcW w:w="2087" w:type="dxa"/>
          </w:tcPr>
          <w:p w:rsidR="00766C2B" w:rsidRPr="00FD7C08" w:rsidRDefault="00766C2B" w:rsidP="00766C2B">
            <w:pPr>
              <w:tabs>
                <w:tab w:val="center" w:pos="935"/>
                <w:tab w:val="right" w:pos="1871"/>
              </w:tabs>
              <w:spacing w:before="240" w:line="276" w:lineRule="auto"/>
              <w:jc w:val="center"/>
            </w:pPr>
            <w:r>
              <w:t>193.0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183.4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182.4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198.6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195.0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202.2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201.8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196.2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203.8</w:t>
            </w:r>
          </w:p>
        </w:tc>
      </w:tr>
      <w:tr w:rsidR="00766C2B" w:rsidTr="00766C2B">
        <w:trPr>
          <w:trHeight w:val="576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172.3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173.0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172.3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189.5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178.5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186.0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157.7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158.0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160.3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208.0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192.0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209.0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Default="00766C2B" w:rsidP="00766C2B">
            <w:pPr>
              <w:spacing w:before="240" w:line="276" w:lineRule="auto"/>
              <w:jc w:val="center"/>
            </w:pPr>
            <w:r>
              <w:t>194.8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191.6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195.5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Default="00766C2B" w:rsidP="00766C2B">
            <w:pPr>
              <w:spacing w:before="240" w:line="276" w:lineRule="auto"/>
              <w:jc w:val="center"/>
            </w:pPr>
            <w:r>
              <w:t>185.0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181.3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189.3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Default="00766C2B" w:rsidP="00766C2B">
            <w:pPr>
              <w:spacing w:before="240" w:line="276" w:lineRule="auto"/>
              <w:jc w:val="center"/>
            </w:pPr>
            <w:r>
              <w:t>176.0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171.0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171.0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Default="00766C2B" w:rsidP="00766C2B">
            <w:pPr>
              <w:spacing w:before="240" w:line="276" w:lineRule="auto"/>
              <w:jc w:val="center"/>
            </w:pPr>
            <w:r>
              <w:t>197.0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197.0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198.5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  <w:tcBorders>
              <w:bottom w:val="single" w:sz="4" w:space="0" w:color="auto"/>
            </w:tcBorders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766C2B" w:rsidRDefault="00766C2B" w:rsidP="00766C2B">
            <w:pPr>
              <w:spacing w:before="240" w:line="276" w:lineRule="auto"/>
              <w:jc w:val="center"/>
            </w:pPr>
            <w:r>
              <w:t>195.0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190.5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191.0</w:t>
            </w:r>
          </w:p>
        </w:tc>
      </w:tr>
    </w:tbl>
    <w:p w:rsidR="00804F0A" w:rsidRDefault="00804F0A" w:rsidP="00831D41">
      <w:pPr>
        <w:spacing w:line="276" w:lineRule="auto"/>
        <w:rPr>
          <w:b/>
          <w:u w:val="single"/>
        </w:rPr>
      </w:pPr>
      <w:r w:rsidRPr="00804F0A">
        <w:rPr>
          <w:b/>
          <w:u w:val="single"/>
        </w:rPr>
        <w:lastRenderedPageBreak/>
        <w:t>Results:</w:t>
      </w:r>
    </w:p>
    <w:p w:rsidR="00831D41" w:rsidRPr="00804F0A" w:rsidRDefault="00831D41" w:rsidP="00831D41">
      <w:pPr>
        <w:spacing w:line="276" w:lineRule="auto"/>
        <w:rPr>
          <w:b/>
          <w:u w:val="single"/>
        </w:rPr>
      </w:pPr>
    </w:p>
    <w:tbl>
      <w:tblPr>
        <w:tblW w:w="7780" w:type="dxa"/>
        <w:tblInd w:w="93" w:type="dxa"/>
        <w:tblLook w:val="04A0"/>
      </w:tblPr>
      <w:tblGrid>
        <w:gridCol w:w="2020"/>
        <w:gridCol w:w="1116"/>
        <w:gridCol w:w="960"/>
        <w:gridCol w:w="1116"/>
        <w:gridCol w:w="1116"/>
        <w:gridCol w:w="1116"/>
        <w:gridCol w:w="1116"/>
      </w:tblGrid>
      <w:tr w:rsidR="00766C2B" w:rsidRPr="00766C2B" w:rsidTr="00766C2B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  <w:proofErr w:type="spellEnd"/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: Single Factor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Groups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Count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Sum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Average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Variance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5 cm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2268.7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189.0583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200.9481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4 cm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2207.5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183.9583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146.0663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3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2261.3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188.4417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218.6608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Source of Variation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proofErr w:type="spellStart"/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df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MS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 xml:space="preserve">F </w:t>
            </w:r>
            <w:proofErr w:type="spellStart"/>
            <w:r w:rsidRPr="00766C2B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crit</w:t>
            </w:r>
            <w:proofErr w:type="spellEnd"/>
          </w:p>
        </w:tc>
      </w:tr>
      <w:tr w:rsidR="00766C2B" w:rsidRPr="00766C2B" w:rsidTr="00766C2B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Between Groups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185.9622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92.98111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0.493116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0.615149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3.284918</w:t>
            </w:r>
          </w:p>
        </w:tc>
      </w:tr>
      <w:tr w:rsidR="00766C2B" w:rsidRPr="00766C2B" w:rsidTr="00766C2B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Within Groups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6222.428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188.5584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766C2B" w:rsidRPr="00766C2B" w:rsidTr="00766C2B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6408.39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C2B" w:rsidRPr="00766C2B" w:rsidRDefault="00766C2B" w:rsidP="00766C2B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766C2B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</w:tbl>
    <w:p w:rsidR="00804F0A" w:rsidRDefault="00804F0A" w:rsidP="00831D41">
      <w:pPr>
        <w:spacing w:line="276" w:lineRule="auto"/>
      </w:pPr>
    </w:p>
    <w:p w:rsidR="00C8690E" w:rsidRDefault="00C8690E" w:rsidP="00831D41">
      <w:pPr>
        <w:spacing w:line="276" w:lineRule="auto"/>
      </w:pPr>
    </w:p>
    <w:p w:rsidR="00804F0A" w:rsidRDefault="00804F0A" w:rsidP="00831D41">
      <w:pPr>
        <w:spacing w:line="276" w:lineRule="auto"/>
        <w:rPr>
          <w:b/>
          <w:u w:val="single"/>
        </w:rPr>
      </w:pPr>
      <w:r>
        <w:rPr>
          <w:b/>
          <w:u w:val="single"/>
        </w:rPr>
        <w:t>Conclusion:</w:t>
      </w:r>
    </w:p>
    <w:p w:rsidR="00831D41" w:rsidRDefault="00831D41" w:rsidP="00831D41">
      <w:pPr>
        <w:spacing w:line="276" w:lineRule="auto"/>
        <w:rPr>
          <w:b/>
          <w:u w:val="single"/>
        </w:rPr>
      </w:pPr>
    </w:p>
    <w:p w:rsidR="00804F0A" w:rsidRDefault="00804F0A" w:rsidP="00831D41">
      <w:pPr>
        <w:spacing w:line="276" w:lineRule="auto"/>
      </w:pPr>
      <w:r>
        <w:t xml:space="preserve">As the </w:t>
      </w:r>
      <w:r>
        <w:rPr>
          <w:i/>
        </w:rPr>
        <w:t>p</w:t>
      </w:r>
      <w:r>
        <w:rPr>
          <w:i/>
        </w:rPr>
        <w:softHyphen/>
        <w:t xml:space="preserve"> </w:t>
      </w:r>
      <w:r>
        <w:t>&gt; 0.05, H</w:t>
      </w:r>
      <w:r>
        <w:rPr>
          <w:vertAlign w:val="subscript"/>
        </w:rPr>
        <w:t>0</w:t>
      </w:r>
      <w:r>
        <w:t xml:space="preserve"> is accepted and H</w:t>
      </w:r>
      <w:r>
        <w:rPr>
          <w:vertAlign w:val="subscript"/>
        </w:rPr>
        <w:t>a</w:t>
      </w:r>
      <w:r>
        <w:t xml:space="preserve"> rejected. Therefore there is no significant difference between the </w:t>
      </w:r>
      <w:r w:rsidR="00766C2B">
        <w:t>red values obtained</w:t>
      </w:r>
      <w:r>
        <w:t xml:space="preserve"> as drop height is varied. </w:t>
      </w:r>
    </w:p>
    <w:p w:rsidR="00831D41" w:rsidRDefault="00831D41" w:rsidP="00831D41">
      <w:pPr>
        <w:spacing w:after="200" w:line="276" w:lineRule="auto"/>
        <w:jc w:val="left"/>
        <w:rPr>
          <w:rFonts w:eastAsiaTheme="majorEastAsia" w:cstheme="majorBidi"/>
          <w:b/>
          <w:bCs/>
          <w:sz w:val="30"/>
          <w:szCs w:val="28"/>
        </w:rPr>
      </w:pPr>
      <w:r>
        <w:br w:type="page"/>
      </w:r>
    </w:p>
    <w:p w:rsidR="00804F0A" w:rsidRDefault="00766C2B" w:rsidP="00831D41">
      <w:pPr>
        <w:pStyle w:val="Heading1"/>
        <w:spacing w:line="276" w:lineRule="auto"/>
      </w:pPr>
      <w:r>
        <w:lastRenderedPageBreak/>
        <w:t>Green Values</w:t>
      </w:r>
    </w:p>
    <w:p w:rsidR="00C63B98" w:rsidRDefault="00C63B98" w:rsidP="00831D41">
      <w:pPr>
        <w:spacing w:before="240" w:line="276" w:lineRule="auto"/>
      </w:pPr>
      <w:r>
        <w:t>H</w:t>
      </w:r>
      <w:r>
        <w:rPr>
          <w:vertAlign w:val="subscript"/>
        </w:rPr>
        <w:t>o</w:t>
      </w:r>
      <w:r>
        <w:t xml:space="preserve">: There is no difference between </w:t>
      </w:r>
      <w:r w:rsidR="00766C2B">
        <w:t>the green values obtained</w:t>
      </w:r>
      <w:r>
        <w:t xml:space="preserve"> as drop height is varied.</w:t>
      </w:r>
    </w:p>
    <w:p w:rsidR="00C63B98" w:rsidRDefault="00C63B98" w:rsidP="00831D41">
      <w:pPr>
        <w:spacing w:before="240" w:line="276" w:lineRule="auto"/>
      </w:pPr>
      <w:r>
        <w:t>H</w:t>
      </w:r>
      <w:r>
        <w:rPr>
          <w:vertAlign w:val="subscript"/>
        </w:rPr>
        <w:t>a</w:t>
      </w:r>
      <w:r>
        <w:t xml:space="preserve">: There is a difference between the </w:t>
      </w:r>
      <w:r w:rsidR="00766C2B">
        <w:t>green values obtained</w:t>
      </w:r>
      <w:r w:rsidR="00C8690E">
        <w:t xml:space="preserve"> as drop height is varied.</w:t>
      </w:r>
    </w:p>
    <w:p w:rsidR="00C63B98" w:rsidRDefault="00C63B98" w:rsidP="00831D41">
      <w:pPr>
        <w:tabs>
          <w:tab w:val="right" w:pos="9026"/>
        </w:tabs>
        <w:spacing w:before="240" w:line="276" w:lineRule="auto"/>
      </w:pPr>
      <w:r>
        <w:t>Dataset Used For Calculation:</w:t>
      </w:r>
    </w:p>
    <w:p w:rsidR="00804F0A" w:rsidRDefault="00804F0A" w:rsidP="00831D41">
      <w:pPr>
        <w:spacing w:line="276" w:lineRule="auto"/>
      </w:pPr>
    </w:p>
    <w:tbl>
      <w:tblPr>
        <w:tblStyle w:val="TableGrid"/>
        <w:tblpPr w:leftFromText="180" w:rightFromText="180" w:vertAnchor="text" w:horzAnchor="margin" w:tblpY="93"/>
        <w:tblW w:w="0" w:type="auto"/>
        <w:tblLook w:val="04A0"/>
      </w:tblPr>
      <w:tblGrid>
        <w:gridCol w:w="1981"/>
        <w:gridCol w:w="2087"/>
        <w:gridCol w:w="2311"/>
        <w:gridCol w:w="2693"/>
      </w:tblGrid>
      <w:tr w:rsidR="00766C2B" w:rsidTr="00766C2B">
        <w:trPr>
          <w:trHeight w:val="576"/>
        </w:trPr>
        <w:tc>
          <w:tcPr>
            <w:tcW w:w="198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rPr>
                <w:b/>
              </w:rPr>
              <w:t>Drop Height</w:t>
            </w: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  <w:r w:rsidRPr="00FD7C08">
              <w:rPr>
                <w:b/>
              </w:rPr>
              <w:t>5 cm</w:t>
            </w:r>
          </w:p>
        </w:tc>
        <w:tc>
          <w:tcPr>
            <w:tcW w:w="2311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  <w:r w:rsidRPr="00FD7C08">
              <w:rPr>
                <w:b/>
              </w:rPr>
              <w:t>4 cm</w:t>
            </w:r>
          </w:p>
        </w:tc>
        <w:tc>
          <w:tcPr>
            <w:tcW w:w="2693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  <w:r w:rsidRPr="00FD7C08">
              <w:rPr>
                <w:b/>
              </w:rPr>
              <w:t>3cm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 w:val="restart"/>
            <w:vAlign w:val="center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rPr>
                <w:b/>
              </w:rPr>
              <w:t>Average Red Values</w:t>
            </w:r>
          </w:p>
        </w:tc>
        <w:tc>
          <w:tcPr>
            <w:tcW w:w="2087" w:type="dxa"/>
          </w:tcPr>
          <w:p w:rsidR="00766C2B" w:rsidRPr="00FD7C08" w:rsidRDefault="00766C2B" w:rsidP="00766C2B">
            <w:pPr>
              <w:tabs>
                <w:tab w:val="center" w:pos="935"/>
                <w:tab w:val="right" w:pos="1871"/>
              </w:tabs>
              <w:spacing w:before="240" w:line="276" w:lineRule="auto"/>
              <w:jc w:val="center"/>
            </w:pPr>
            <w:r>
              <w:t>184.4</w:t>
            </w:r>
          </w:p>
        </w:tc>
        <w:tc>
          <w:tcPr>
            <w:tcW w:w="2311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173.8</w:t>
            </w:r>
          </w:p>
        </w:tc>
        <w:tc>
          <w:tcPr>
            <w:tcW w:w="2693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156.8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195.8</w:t>
            </w:r>
          </w:p>
        </w:tc>
        <w:tc>
          <w:tcPr>
            <w:tcW w:w="2311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189.6</w:t>
            </w:r>
          </w:p>
        </w:tc>
        <w:tc>
          <w:tcPr>
            <w:tcW w:w="2693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199.2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199.2</w:t>
            </w:r>
          </w:p>
        </w:tc>
        <w:tc>
          <w:tcPr>
            <w:tcW w:w="2311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190.0</w:t>
            </w:r>
          </w:p>
        </w:tc>
        <w:tc>
          <w:tcPr>
            <w:tcW w:w="2693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200.8</w:t>
            </w:r>
          </w:p>
        </w:tc>
      </w:tr>
      <w:tr w:rsidR="00766C2B" w:rsidTr="00766C2B">
        <w:trPr>
          <w:trHeight w:val="576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168.0</w:t>
            </w:r>
          </w:p>
        </w:tc>
        <w:tc>
          <w:tcPr>
            <w:tcW w:w="2311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170.0</w:t>
            </w:r>
          </w:p>
        </w:tc>
        <w:tc>
          <w:tcPr>
            <w:tcW w:w="2693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172.0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183.0</w:t>
            </w:r>
          </w:p>
        </w:tc>
        <w:tc>
          <w:tcPr>
            <w:tcW w:w="2311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172.5</w:t>
            </w:r>
          </w:p>
        </w:tc>
        <w:tc>
          <w:tcPr>
            <w:tcW w:w="2693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183.5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153.0</w:t>
            </w:r>
          </w:p>
        </w:tc>
        <w:tc>
          <w:tcPr>
            <w:tcW w:w="2311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157.0</w:t>
            </w:r>
          </w:p>
        </w:tc>
        <w:tc>
          <w:tcPr>
            <w:tcW w:w="2693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157.0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Pr="00FD7C08" w:rsidRDefault="00766C2B" w:rsidP="00766C2B">
            <w:pPr>
              <w:spacing w:before="240" w:line="276" w:lineRule="auto"/>
              <w:jc w:val="center"/>
            </w:pPr>
            <w:r>
              <w:t>205.5</w:t>
            </w:r>
          </w:p>
        </w:tc>
        <w:tc>
          <w:tcPr>
            <w:tcW w:w="2311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191.0</w:t>
            </w:r>
          </w:p>
        </w:tc>
        <w:tc>
          <w:tcPr>
            <w:tcW w:w="2693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208.5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Default="00766C2B" w:rsidP="00766C2B">
            <w:pPr>
              <w:spacing w:before="240" w:line="276" w:lineRule="auto"/>
              <w:jc w:val="center"/>
            </w:pPr>
            <w:r>
              <w:t>190.6</w:t>
            </w:r>
          </w:p>
        </w:tc>
        <w:tc>
          <w:tcPr>
            <w:tcW w:w="2311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189.4</w:t>
            </w:r>
          </w:p>
        </w:tc>
        <w:tc>
          <w:tcPr>
            <w:tcW w:w="2693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192.0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Default="00766C2B" w:rsidP="00766C2B">
            <w:pPr>
              <w:spacing w:before="240" w:line="276" w:lineRule="auto"/>
              <w:jc w:val="center"/>
            </w:pPr>
            <w:r>
              <w:t>180.0</w:t>
            </w:r>
          </w:p>
        </w:tc>
        <w:tc>
          <w:tcPr>
            <w:tcW w:w="2311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177.3</w:t>
            </w:r>
          </w:p>
        </w:tc>
        <w:tc>
          <w:tcPr>
            <w:tcW w:w="2693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185.3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Default="00766C2B" w:rsidP="00766C2B">
            <w:pPr>
              <w:spacing w:before="240" w:line="276" w:lineRule="auto"/>
              <w:jc w:val="center"/>
            </w:pPr>
            <w:r>
              <w:t>175.0</w:t>
            </w:r>
          </w:p>
        </w:tc>
        <w:tc>
          <w:tcPr>
            <w:tcW w:w="2311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170.0</w:t>
            </w:r>
          </w:p>
        </w:tc>
        <w:tc>
          <w:tcPr>
            <w:tcW w:w="2693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172.0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766C2B" w:rsidRDefault="00766C2B" w:rsidP="00766C2B">
            <w:pPr>
              <w:spacing w:before="240" w:line="276" w:lineRule="auto"/>
              <w:jc w:val="center"/>
            </w:pPr>
            <w:r>
              <w:t>192.0</w:t>
            </w:r>
          </w:p>
        </w:tc>
        <w:tc>
          <w:tcPr>
            <w:tcW w:w="2311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191.5</w:t>
            </w:r>
          </w:p>
        </w:tc>
        <w:tc>
          <w:tcPr>
            <w:tcW w:w="2693" w:type="dxa"/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192.0</w:t>
            </w:r>
          </w:p>
        </w:tc>
      </w:tr>
      <w:tr w:rsidR="00766C2B" w:rsidTr="00766C2B">
        <w:trPr>
          <w:trHeight w:val="602"/>
        </w:trPr>
        <w:tc>
          <w:tcPr>
            <w:tcW w:w="1981" w:type="dxa"/>
            <w:vMerge/>
            <w:tcBorders>
              <w:bottom w:val="single" w:sz="4" w:space="0" w:color="auto"/>
            </w:tcBorders>
          </w:tcPr>
          <w:p w:rsidR="00766C2B" w:rsidRPr="00FD7C08" w:rsidRDefault="00766C2B" w:rsidP="00766C2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766C2B" w:rsidRDefault="00766C2B" w:rsidP="00766C2B">
            <w:pPr>
              <w:spacing w:before="240" w:line="276" w:lineRule="auto"/>
              <w:jc w:val="center"/>
            </w:pPr>
            <w:r>
              <w:t>191.0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188.0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66C2B" w:rsidRPr="00FD7C08" w:rsidRDefault="0038086A" w:rsidP="00766C2B">
            <w:pPr>
              <w:spacing w:before="240" w:line="276" w:lineRule="auto"/>
              <w:jc w:val="center"/>
            </w:pPr>
            <w:r>
              <w:t>191.0</w:t>
            </w:r>
          </w:p>
        </w:tc>
      </w:tr>
    </w:tbl>
    <w:p w:rsidR="00CC1309" w:rsidRDefault="00CC1309">
      <w:pPr>
        <w:spacing w:after="200" w:line="276" w:lineRule="auto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831D41" w:rsidRDefault="00831D41" w:rsidP="00831D41">
      <w:pPr>
        <w:spacing w:line="276" w:lineRule="auto"/>
        <w:rPr>
          <w:b/>
          <w:u w:val="single"/>
        </w:rPr>
      </w:pPr>
      <w:r>
        <w:rPr>
          <w:b/>
          <w:u w:val="single"/>
        </w:rPr>
        <w:lastRenderedPageBreak/>
        <w:t>Results:</w:t>
      </w:r>
    </w:p>
    <w:p w:rsidR="00831D41" w:rsidRDefault="00831D41" w:rsidP="00831D41">
      <w:pPr>
        <w:spacing w:line="276" w:lineRule="auto"/>
        <w:rPr>
          <w:b/>
          <w:u w:val="single"/>
        </w:rPr>
      </w:pPr>
    </w:p>
    <w:tbl>
      <w:tblPr>
        <w:tblW w:w="7780" w:type="dxa"/>
        <w:tblInd w:w="93" w:type="dxa"/>
        <w:tblLook w:val="04A0"/>
      </w:tblPr>
      <w:tblGrid>
        <w:gridCol w:w="2020"/>
        <w:gridCol w:w="1116"/>
        <w:gridCol w:w="960"/>
        <w:gridCol w:w="1116"/>
        <w:gridCol w:w="1116"/>
        <w:gridCol w:w="1116"/>
        <w:gridCol w:w="1116"/>
      </w:tblGrid>
      <w:tr w:rsidR="0038086A" w:rsidRPr="0038086A" w:rsidTr="0038086A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  <w:proofErr w:type="spellEnd"/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: Single Factor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Groups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Count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Sum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Average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Variance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5 cm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2217.5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184.7917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208.7936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4 cm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2160.1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180.0083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129.8863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3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2210.1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184.175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277.1766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Source of Variation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proofErr w:type="spellStart"/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df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MS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 xml:space="preserve">F </w:t>
            </w:r>
            <w:proofErr w:type="spellStart"/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crit</w:t>
            </w:r>
            <w:proofErr w:type="spellEnd"/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Between Groups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162.4867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81.24333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0.395758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0.676322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3.284918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Within Groups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6774.421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205.2855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6936.908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</w:tbl>
    <w:p w:rsidR="00831D41" w:rsidRDefault="00831D41" w:rsidP="00831D41">
      <w:pPr>
        <w:spacing w:line="276" w:lineRule="auto"/>
        <w:rPr>
          <w:b/>
          <w:szCs w:val="24"/>
          <w:u w:val="single"/>
        </w:rPr>
      </w:pPr>
    </w:p>
    <w:p w:rsidR="00C8690E" w:rsidRDefault="00C8690E" w:rsidP="00831D41">
      <w:pPr>
        <w:spacing w:line="276" w:lineRule="auto"/>
        <w:rPr>
          <w:b/>
          <w:szCs w:val="24"/>
          <w:u w:val="single"/>
        </w:rPr>
      </w:pPr>
    </w:p>
    <w:p w:rsidR="00831D41" w:rsidRDefault="00831D41" w:rsidP="00831D41">
      <w:pPr>
        <w:spacing w:line="276" w:lineRule="auto"/>
        <w:rPr>
          <w:b/>
          <w:szCs w:val="24"/>
          <w:u w:val="single"/>
        </w:rPr>
      </w:pPr>
      <w:r w:rsidRPr="00831D41">
        <w:rPr>
          <w:b/>
          <w:szCs w:val="24"/>
          <w:u w:val="single"/>
        </w:rPr>
        <w:t>Conclusion</w:t>
      </w:r>
      <w:r>
        <w:rPr>
          <w:b/>
          <w:szCs w:val="24"/>
          <w:u w:val="single"/>
        </w:rPr>
        <w:t>:</w:t>
      </w:r>
    </w:p>
    <w:p w:rsidR="00831D41" w:rsidRDefault="00831D41" w:rsidP="00831D41">
      <w:pPr>
        <w:spacing w:line="276" w:lineRule="auto"/>
        <w:rPr>
          <w:b/>
          <w:szCs w:val="24"/>
          <w:u w:val="single"/>
        </w:rPr>
      </w:pPr>
    </w:p>
    <w:p w:rsidR="00C8690E" w:rsidRDefault="00831D41" w:rsidP="00831D41">
      <w:pPr>
        <w:spacing w:line="276" w:lineRule="auto"/>
      </w:pPr>
      <w:r>
        <w:t xml:space="preserve">As the </w:t>
      </w:r>
      <w:r>
        <w:rPr>
          <w:i/>
        </w:rPr>
        <w:t>p</w:t>
      </w:r>
      <w:r>
        <w:rPr>
          <w:i/>
        </w:rPr>
        <w:softHyphen/>
        <w:t xml:space="preserve"> </w:t>
      </w:r>
      <w:r>
        <w:t>&gt; 0.05, H</w:t>
      </w:r>
      <w:r>
        <w:rPr>
          <w:vertAlign w:val="subscript"/>
        </w:rPr>
        <w:t>0</w:t>
      </w:r>
      <w:r>
        <w:t xml:space="preserve"> is accepted and H</w:t>
      </w:r>
      <w:r>
        <w:rPr>
          <w:vertAlign w:val="subscript"/>
        </w:rPr>
        <w:t>a</w:t>
      </w:r>
      <w:r>
        <w:t xml:space="preserve"> rejected. Therefore there is no significant difference between </w:t>
      </w:r>
      <w:r w:rsidR="0038086A">
        <w:t>the green values obtained</w:t>
      </w:r>
      <w:r>
        <w:t xml:space="preserve"> as drop height is varied.</w:t>
      </w:r>
    </w:p>
    <w:p w:rsidR="00C8690E" w:rsidRDefault="00C8690E" w:rsidP="00C8690E">
      <w:r>
        <w:br w:type="page"/>
      </w:r>
    </w:p>
    <w:p w:rsidR="00804F0A" w:rsidRDefault="0038086A" w:rsidP="00831D41">
      <w:pPr>
        <w:pStyle w:val="Heading1"/>
        <w:spacing w:line="276" w:lineRule="auto"/>
      </w:pPr>
      <w:r>
        <w:lastRenderedPageBreak/>
        <w:t>Blue Values</w:t>
      </w:r>
    </w:p>
    <w:p w:rsidR="00C63B98" w:rsidRDefault="00C63B98" w:rsidP="00831D41">
      <w:pPr>
        <w:spacing w:before="240" w:line="276" w:lineRule="auto"/>
      </w:pPr>
      <w:r>
        <w:t>H</w:t>
      </w:r>
      <w:r>
        <w:rPr>
          <w:vertAlign w:val="subscript"/>
        </w:rPr>
        <w:t>o</w:t>
      </w:r>
      <w:r>
        <w:t xml:space="preserve">: There is no difference between the </w:t>
      </w:r>
      <w:r w:rsidR="0038086A">
        <w:t>blue values obtained</w:t>
      </w:r>
      <w:r>
        <w:t xml:space="preserve"> as drop height is varied.</w:t>
      </w:r>
    </w:p>
    <w:p w:rsidR="00CC1309" w:rsidRDefault="00C63B98" w:rsidP="00C8690E">
      <w:pPr>
        <w:spacing w:before="240" w:line="276" w:lineRule="auto"/>
      </w:pPr>
      <w:r>
        <w:t>H</w:t>
      </w:r>
      <w:r>
        <w:rPr>
          <w:vertAlign w:val="subscript"/>
        </w:rPr>
        <w:t>a</w:t>
      </w:r>
      <w:r>
        <w:t xml:space="preserve">: There is a difference between the </w:t>
      </w:r>
      <w:r w:rsidR="0038086A">
        <w:t>blue values obtained</w:t>
      </w:r>
      <w:r>
        <w:t xml:space="preserve"> as drop height is varied.</w:t>
      </w:r>
    </w:p>
    <w:p w:rsidR="00C8690E" w:rsidRDefault="00C63B98" w:rsidP="00831D41">
      <w:pPr>
        <w:tabs>
          <w:tab w:val="right" w:pos="9026"/>
        </w:tabs>
        <w:spacing w:before="240" w:line="276" w:lineRule="auto"/>
      </w:pPr>
      <w:r>
        <w:t>Dataset Used For Calculation:</w:t>
      </w:r>
    </w:p>
    <w:tbl>
      <w:tblPr>
        <w:tblStyle w:val="TableGrid"/>
        <w:tblpPr w:leftFromText="180" w:rightFromText="180" w:vertAnchor="text" w:horzAnchor="margin" w:tblpY="93"/>
        <w:tblW w:w="0" w:type="auto"/>
        <w:tblLook w:val="04A0"/>
      </w:tblPr>
      <w:tblGrid>
        <w:gridCol w:w="1981"/>
        <w:gridCol w:w="2087"/>
        <w:gridCol w:w="2311"/>
        <w:gridCol w:w="2693"/>
      </w:tblGrid>
      <w:tr w:rsidR="0038086A" w:rsidTr="00F6319B">
        <w:trPr>
          <w:trHeight w:val="576"/>
        </w:trPr>
        <w:tc>
          <w:tcPr>
            <w:tcW w:w="198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rPr>
                <w:b/>
              </w:rPr>
              <w:t>Drop Height</w:t>
            </w:r>
          </w:p>
        </w:tc>
        <w:tc>
          <w:tcPr>
            <w:tcW w:w="2087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  <w:rPr>
                <w:b/>
              </w:rPr>
            </w:pPr>
            <w:r w:rsidRPr="00FD7C08">
              <w:rPr>
                <w:b/>
              </w:rPr>
              <w:t>5 cm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  <w:rPr>
                <w:b/>
              </w:rPr>
            </w:pPr>
            <w:r w:rsidRPr="00FD7C08">
              <w:rPr>
                <w:b/>
              </w:rPr>
              <w:t>4 cm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  <w:rPr>
                <w:b/>
              </w:rPr>
            </w:pPr>
            <w:r w:rsidRPr="00FD7C08">
              <w:rPr>
                <w:b/>
              </w:rPr>
              <w:t>3cm</w:t>
            </w:r>
          </w:p>
        </w:tc>
      </w:tr>
      <w:tr w:rsidR="0038086A" w:rsidTr="00F6319B">
        <w:trPr>
          <w:trHeight w:val="602"/>
        </w:trPr>
        <w:tc>
          <w:tcPr>
            <w:tcW w:w="1981" w:type="dxa"/>
            <w:vMerge w:val="restart"/>
            <w:vAlign w:val="center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rPr>
                <w:b/>
              </w:rPr>
              <w:t>Average Red Values</w:t>
            </w:r>
          </w:p>
        </w:tc>
        <w:tc>
          <w:tcPr>
            <w:tcW w:w="2087" w:type="dxa"/>
          </w:tcPr>
          <w:p w:rsidR="0038086A" w:rsidRPr="00FD7C08" w:rsidRDefault="0038086A" w:rsidP="00F6319B">
            <w:pPr>
              <w:tabs>
                <w:tab w:val="center" w:pos="935"/>
                <w:tab w:val="right" w:pos="1871"/>
              </w:tabs>
              <w:spacing w:before="240" w:line="276" w:lineRule="auto"/>
              <w:jc w:val="center"/>
            </w:pPr>
            <w:r>
              <w:t>32.5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29.8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30.2</w:t>
            </w:r>
          </w:p>
        </w:tc>
      </w:tr>
      <w:tr w:rsidR="0038086A" w:rsidTr="00F6319B">
        <w:trPr>
          <w:trHeight w:val="602"/>
        </w:trPr>
        <w:tc>
          <w:tcPr>
            <w:tcW w:w="1981" w:type="dxa"/>
            <w:vMerge/>
          </w:tcPr>
          <w:p w:rsidR="0038086A" w:rsidRPr="00FD7C08" w:rsidRDefault="0038086A" w:rsidP="00F6319B">
            <w:pPr>
              <w:spacing w:before="240" w:line="276" w:lineRule="auto"/>
            </w:pPr>
          </w:p>
        </w:tc>
        <w:tc>
          <w:tcPr>
            <w:tcW w:w="2087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31.6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37.6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36.2</w:t>
            </w:r>
          </w:p>
        </w:tc>
      </w:tr>
      <w:tr w:rsidR="0038086A" w:rsidTr="00F6319B">
        <w:trPr>
          <w:trHeight w:val="602"/>
        </w:trPr>
        <w:tc>
          <w:tcPr>
            <w:tcW w:w="1981" w:type="dxa"/>
            <w:vMerge/>
          </w:tcPr>
          <w:p w:rsidR="0038086A" w:rsidRPr="00FD7C08" w:rsidRDefault="0038086A" w:rsidP="00F6319B">
            <w:pPr>
              <w:spacing w:before="240" w:line="276" w:lineRule="auto"/>
            </w:pPr>
          </w:p>
        </w:tc>
        <w:tc>
          <w:tcPr>
            <w:tcW w:w="2087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14.8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22.6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16.4</w:t>
            </w:r>
          </w:p>
        </w:tc>
      </w:tr>
      <w:tr w:rsidR="0038086A" w:rsidTr="00F6319B">
        <w:trPr>
          <w:trHeight w:val="576"/>
        </w:trPr>
        <w:tc>
          <w:tcPr>
            <w:tcW w:w="1981" w:type="dxa"/>
            <w:vMerge/>
          </w:tcPr>
          <w:p w:rsidR="0038086A" w:rsidRPr="00FD7C08" w:rsidRDefault="0038086A" w:rsidP="00F6319B">
            <w:pPr>
              <w:spacing w:before="240" w:line="276" w:lineRule="auto"/>
            </w:pPr>
          </w:p>
        </w:tc>
        <w:tc>
          <w:tcPr>
            <w:tcW w:w="2087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36.7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41.7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37.0</w:t>
            </w:r>
          </w:p>
        </w:tc>
      </w:tr>
      <w:tr w:rsidR="0038086A" w:rsidTr="00F6319B">
        <w:trPr>
          <w:trHeight w:val="602"/>
        </w:trPr>
        <w:tc>
          <w:tcPr>
            <w:tcW w:w="1981" w:type="dxa"/>
            <w:vMerge/>
          </w:tcPr>
          <w:p w:rsidR="0038086A" w:rsidRPr="00FD7C08" w:rsidRDefault="0038086A" w:rsidP="00F6319B">
            <w:pPr>
              <w:spacing w:before="240" w:line="276" w:lineRule="auto"/>
            </w:pPr>
          </w:p>
        </w:tc>
        <w:tc>
          <w:tcPr>
            <w:tcW w:w="2087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0.0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0.0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0.0</w:t>
            </w:r>
          </w:p>
        </w:tc>
      </w:tr>
      <w:tr w:rsidR="0038086A" w:rsidTr="00F6319B">
        <w:trPr>
          <w:trHeight w:val="602"/>
        </w:trPr>
        <w:tc>
          <w:tcPr>
            <w:tcW w:w="1981" w:type="dxa"/>
            <w:vMerge/>
          </w:tcPr>
          <w:p w:rsidR="0038086A" w:rsidRPr="00FD7C08" w:rsidRDefault="0038086A" w:rsidP="00F6319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32.3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43.7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40.7</w:t>
            </w:r>
          </w:p>
        </w:tc>
      </w:tr>
      <w:tr w:rsidR="0038086A" w:rsidTr="00F6319B">
        <w:trPr>
          <w:trHeight w:val="602"/>
        </w:trPr>
        <w:tc>
          <w:tcPr>
            <w:tcW w:w="1981" w:type="dxa"/>
            <w:vMerge/>
          </w:tcPr>
          <w:p w:rsidR="0038086A" w:rsidRPr="00FD7C08" w:rsidRDefault="0038086A" w:rsidP="00F6319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0.0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0.0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0.0</w:t>
            </w:r>
          </w:p>
        </w:tc>
      </w:tr>
      <w:tr w:rsidR="0038086A" w:rsidTr="00F6319B">
        <w:trPr>
          <w:trHeight w:val="602"/>
        </w:trPr>
        <w:tc>
          <w:tcPr>
            <w:tcW w:w="1981" w:type="dxa"/>
            <w:vMerge/>
          </w:tcPr>
          <w:p w:rsidR="0038086A" w:rsidRPr="00FD7C08" w:rsidRDefault="0038086A" w:rsidP="00F6319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38086A" w:rsidRDefault="0038086A" w:rsidP="00F6319B">
            <w:pPr>
              <w:spacing w:before="240" w:line="276" w:lineRule="auto"/>
              <w:jc w:val="center"/>
            </w:pPr>
            <w:r>
              <w:t>27.0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23.8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21.4</w:t>
            </w:r>
          </w:p>
        </w:tc>
      </w:tr>
      <w:tr w:rsidR="0038086A" w:rsidTr="00F6319B">
        <w:trPr>
          <w:trHeight w:val="602"/>
        </w:trPr>
        <w:tc>
          <w:tcPr>
            <w:tcW w:w="1981" w:type="dxa"/>
            <w:vMerge/>
          </w:tcPr>
          <w:p w:rsidR="0038086A" w:rsidRPr="00FD7C08" w:rsidRDefault="0038086A" w:rsidP="00F6319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38086A" w:rsidRDefault="0038086A" w:rsidP="00F6319B">
            <w:pPr>
              <w:spacing w:before="240" w:line="276" w:lineRule="auto"/>
              <w:jc w:val="center"/>
            </w:pPr>
            <w:r>
              <w:t>33.8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42.3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39.0</w:t>
            </w:r>
          </w:p>
        </w:tc>
      </w:tr>
      <w:tr w:rsidR="0038086A" w:rsidTr="00F6319B">
        <w:trPr>
          <w:trHeight w:val="602"/>
        </w:trPr>
        <w:tc>
          <w:tcPr>
            <w:tcW w:w="1981" w:type="dxa"/>
            <w:vMerge/>
          </w:tcPr>
          <w:p w:rsidR="0038086A" w:rsidRPr="00FD7C08" w:rsidRDefault="0038086A" w:rsidP="00F6319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38086A" w:rsidRDefault="0038086A" w:rsidP="00F6319B">
            <w:pPr>
              <w:spacing w:before="240" w:line="276" w:lineRule="auto"/>
              <w:jc w:val="center"/>
            </w:pPr>
            <w:r>
              <w:t>30.0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40.0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25.0</w:t>
            </w:r>
          </w:p>
        </w:tc>
      </w:tr>
      <w:tr w:rsidR="0038086A" w:rsidTr="00F6319B">
        <w:trPr>
          <w:trHeight w:val="602"/>
        </w:trPr>
        <w:tc>
          <w:tcPr>
            <w:tcW w:w="1981" w:type="dxa"/>
            <w:vMerge/>
          </w:tcPr>
          <w:p w:rsidR="0038086A" w:rsidRPr="00FD7C08" w:rsidRDefault="0038086A" w:rsidP="00F6319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</w:tcPr>
          <w:p w:rsidR="0038086A" w:rsidRDefault="0038086A" w:rsidP="00F6319B">
            <w:pPr>
              <w:spacing w:before="240" w:line="276" w:lineRule="auto"/>
              <w:jc w:val="center"/>
            </w:pPr>
            <w:r>
              <w:t>18.0</w:t>
            </w:r>
          </w:p>
        </w:tc>
        <w:tc>
          <w:tcPr>
            <w:tcW w:w="2311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103.0</w:t>
            </w:r>
          </w:p>
        </w:tc>
        <w:tc>
          <w:tcPr>
            <w:tcW w:w="2693" w:type="dxa"/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15.0</w:t>
            </w:r>
          </w:p>
        </w:tc>
      </w:tr>
      <w:tr w:rsidR="0038086A" w:rsidTr="00F6319B">
        <w:trPr>
          <w:trHeight w:val="602"/>
        </w:trPr>
        <w:tc>
          <w:tcPr>
            <w:tcW w:w="1981" w:type="dxa"/>
            <w:vMerge/>
            <w:tcBorders>
              <w:bottom w:val="single" w:sz="4" w:space="0" w:color="auto"/>
            </w:tcBorders>
          </w:tcPr>
          <w:p w:rsidR="0038086A" w:rsidRPr="00FD7C08" w:rsidRDefault="0038086A" w:rsidP="00F6319B">
            <w:pP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38086A" w:rsidRDefault="0038086A" w:rsidP="00F6319B">
            <w:pPr>
              <w:spacing w:before="240" w:line="276" w:lineRule="auto"/>
              <w:jc w:val="center"/>
            </w:pPr>
            <w:r>
              <w:t>82.5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90.0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8086A" w:rsidRPr="00FD7C08" w:rsidRDefault="0038086A" w:rsidP="00F6319B">
            <w:pPr>
              <w:spacing w:before="240" w:line="276" w:lineRule="auto"/>
              <w:jc w:val="center"/>
            </w:pPr>
            <w:r>
              <w:t>80.5</w:t>
            </w:r>
          </w:p>
        </w:tc>
      </w:tr>
    </w:tbl>
    <w:p w:rsidR="0038086A" w:rsidRDefault="0038086A" w:rsidP="00831D41">
      <w:pPr>
        <w:tabs>
          <w:tab w:val="right" w:pos="9026"/>
        </w:tabs>
        <w:spacing w:before="240" w:line="276" w:lineRule="auto"/>
      </w:pPr>
    </w:p>
    <w:p w:rsidR="00804F0A" w:rsidRDefault="00804F0A" w:rsidP="00831D41">
      <w:pPr>
        <w:spacing w:line="276" w:lineRule="auto"/>
      </w:pPr>
    </w:p>
    <w:p w:rsidR="00C8690E" w:rsidRDefault="00C8690E">
      <w:pPr>
        <w:spacing w:after="200" w:line="276" w:lineRule="auto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831D41" w:rsidRDefault="00831D41" w:rsidP="00831D41">
      <w:pPr>
        <w:spacing w:line="276" w:lineRule="auto"/>
        <w:rPr>
          <w:b/>
          <w:u w:val="single"/>
        </w:rPr>
      </w:pPr>
      <w:r>
        <w:rPr>
          <w:b/>
          <w:u w:val="single"/>
        </w:rPr>
        <w:lastRenderedPageBreak/>
        <w:t>Results:</w:t>
      </w:r>
    </w:p>
    <w:p w:rsidR="00EF439A" w:rsidRDefault="00EF439A" w:rsidP="00831D41">
      <w:pPr>
        <w:spacing w:line="276" w:lineRule="auto"/>
        <w:rPr>
          <w:b/>
          <w:u w:val="single"/>
        </w:rPr>
      </w:pPr>
    </w:p>
    <w:tbl>
      <w:tblPr>
        <w:tblW w:w="7780" w:type="dxa"/>
        <w:tblInd w:w="93" w:type="dxa"/>
        <w:tblLook w:val="04A0"/>
      </w:tblPr>
      <w:tblGrid>
        <w:gridCol w:w="2020"/>
        <w:gridCol w:w="1116"/>
        <w:gridCol w:w="960"/>
        <w:gridCol w:w="1116"/>
        <w:gridCol w:w="1116"/>
        <w:gridCol w:w="1116"/>
        <w:gridCol w:w="1116"/>
      </w:tblGrid>
      <w:tr w:rsidR="0038086A" w:rsidRPr="0038086A" w:rsidTr="0038086A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  <w:proofErr w:type="spellEnd"/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: Single Factor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Groups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Count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Sum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Average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Variance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5 cm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339.2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28.26667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452.5152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4 cm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474.5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39.54167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942.1227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3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341.4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28.45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464.8464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Source of Variation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proofErr w:type="spellStart"/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df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MS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 xml:space="preserve">F </w:t>
            </w:r>
            <w:proofErr w:type="spellStart"/>
            <w:r w:rsidRPr="0038086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crit</w:t>
            </w:r>
            <w:proofErr w:type="spellEnd"/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Between Groups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1000.737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500.3686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0.80727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0.454688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3.284918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Within Groups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20454.33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619.8281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38086A" w:rsidRPr="0038086A" w:rsidTr="0038086A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21455.06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86A" w:rsidRPr="0038086A" w:rsidRDefault="0038086A" w:rsidP="003808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38086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</w:tbl>
    <w:p w:rsidR="00EF439A" w:rsidRDefault="00EF439A" w:rsidP="00831D41">
      <w:pPr>
        <w:spacing w:line="276" w:lineRule="auto"/>
      </w:pPr>
    </w:p>
    <w:p w:rsidR="00C8690E" w:rsidRDefault="00C8690E" w:rsidP="00831D41">
      <w:pPr>
        <w:spacing w:line="276" w:lineRule="auto"/>
      </w:pPr>
    </w:p>
    <w:p w:rsidR="00831D41" w:rsidRDefault="00831D41" w:rsidP="00831D41">
      <w:pPr>
        <w:spacing w:line="276" w:lineRule="auto"/>
        <w:rPr>
          <w:b/>
          <w:szCs w:val="24"/>
          <w:u w:val="single"/>
        </w:rPr>
      </w:pPr>
      <w:r w:rsidRPr="00831D41">
        <w:rPr>
          <w:b/>
          <w:szCs w:val="24"/>
          <w:u w:val="single"/>
        </w:rPr>
        <w:t>Conclusion</w:t>
      </w:r>
      <w:r>
        <w:rPr>
          <w:b/>
          <w:szCs w:val="24"/>
          <w:u w:val="single"/>
        </w:rPr>
        <w:t>:</w:t>
      </w:r>
    </w:p>
    <w:p w:rsidR="00EF439A" w:rsidRDefault="00EF439A" w:rsidP="00831D41">
      <w:pPr>
        <w:spacing w:line="276" w:lineRule="auto"/>
        <w:rPr>
          <w:b/>
          <w:szCs w:val="24"/>
          <w:u w:val="single"/>
        </w:rPr>
      </w:pPr>
    </w:p>
    <w:p w:rsidR="00C8690E" w:rsidRDefault="00831D41" w:rsidP="00831D41">
      <w:pPr>
        <w:spacing w:line="276" w:lineRule="auto"/>
      </w:pPr>
      <w:r>
        <w:t xml:space="preserve">As the </w:t>
      </w:r>
      <w:r>
        <w:rPr>
          <w:i/>
        </w:rPr>
        <w:t>p</w:t>
      </w:r>
      <w:r>
        <w:rPr>
          <w:i/>
        </w:rPr>
        <w:softHyphen/>
        <w:t xml:space="preserve"> </w:t>
      </w:r>
      <w:r>
        <w:t>&gt; 0.05, H</w:t>
      </w:r>
      <w:r>
        <w:rPr>
          <w:vertAlign w:val="subscript"/>
        </w:rPr>
        <w:t>0</w:t>
      </w:r>
      <w:r>
        <w:t xml:space="preserve"> is accepted and H</w:t>
      </w:r>
      <w:r>
        <w:rPr>
          <w:vertAlign w:val="subscript"/>
        </w:rPr>
        <w:t>a</w:t>
      </w:r>
      <w:r>
        <w:t xml:space="preserve"> rejected. Therefore there is no significant difference between </w:t>
      </w:r>
      <w:r w:rsidR="0038086A">
        <w:t>the blue values obtained</w:t>
      </w:r>
      <w:r>
        <w:t xml:space="preserve"> as drop height is varied.</w:t>
      </w:r>
    </w:p>
    <w:p w:rsidR="00C8690E" w:rsidRDefault="00C8690E" w:rsidP="00C8690E">
      <w:bookmarkStart w:id="0" w:name="_GoBack"/>
      <w:bookmarkEnd w:id="0"/>
    </w:p>
    <w:sectPr w:rsidR="00C8690E" w:rsidSect="00F14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E37FB"/>
    <w:multiLevelType w:val="multilevel"/>
    <w:tmpl w:val="5B4841D8"/>
    <w:lvl w:ilvl="0">
      <w:start w:val="1"/>
      <w:numFmt w:val="decimal"/>
      <w:pStyle w:val="Titl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1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Heading2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3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4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5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6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7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8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characterSpacingControl w:val="doNotCompress"/>
  <w:compat/>
  <w:rsids>
    <w:rsidRoot w:val="00804F0A"/>
    <w:rsid w:val="002232F8"/>
    <w:rsid w:val="00264E9E"/>
    <w:rsid w:val="002D1D0A"/>
    <w:rsid w:val="00337890"/>
    <w:rsid w:val="0038086A"/>
    <w:rsid w:val="003D4927"/>
    <w:rsid w:val="004E19EF"/>
    <w:rsid w:val="005E3414"/>
    <w:rsid w:val="00766C2B"/>
    <w:rsid w:val="008044D9"/>
    <w:rsid w:val="00804F0A"/>
    <w:rsid w:val="00831D41"/>
    <w:rsid w:val="00861AFF"/>
    <w:rsid w:val="00AD79A8"/>
    <w:rsid w:val="00B247A3"/>
    <w:rsid w:val="00C63B98"/>
    <w:rsid w:val="00C8690E"/>
    <w:rsid w:val="00CC1309"/>
    <w:rsid w:val="00DA7CEE"/>
    <w:rsid w:val="00EB490A"/>
    <w:rsid w:val="00EF439A"/>
    <w:rsid w:val="00F1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9E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4E9E"/>
    <w:pPr>
      <w:numPr>
        <w:ilvl w:val="1"/>
        <w:numId w:val="1"/>
      </w:numPr>
      <w:spacing w:before="480"/>
      <w:ind w:left="576"/>
      <w:contextualSpacing/>
      <w:outlineLvl w:val="0"/>
    </w:pPr>
    <w:rPr>
      <w:rFonts w:eastAsiaTheme="majorEastAsia" w:cstheme="majorBidi"/>
      <w:b/>
      <w:bCs/>
      <w:sz w:val="30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804F0A"/>
    <w:pPr>
      <w:numPr>
        <w:ilvl w:val="2"/>
      </w:numPr>
      <w:outlineLvl w:val="1"/>
    </w:pPr>
  </w:style>
  <w:style w:type="paragraph" w:styleId="Heading3">
    <w:name w:val="heading 3"/>
    <w:basedOn w:val="Heading1"/>
    <w:next w:val="Normal"/>
    <w:link w:val="Heading3Char"/>
    <w:autoRedefine/>
    <w:uiPriority w:val="9"/>
    <w:unhideWhenUsed/>
    <w:qFormat/>
    <w:rsid w:val="00264E9E"/>
    <w:pPr>
      <w:numPr>
        <w:ilvl w:val="3"/>
      </w:numPr>
      <w:outlineLvl w:val="2"/>
    </w:pPr>
  </w:style>
  <w:style w:type="paragraph" w:styleId="Heading4">
    <w:name w:val="heading 4"/>
    <w:basedOn w:val="Heading1"/>
    <w:next w:val="Normal"/>
    <w:link w:val="Heading4Char"/>
    <w:autoRedefine/>
    <w:uiPriority w:val="9"/>
    <w:unhideWhenUsed/>
    <w:qFormat/>
    <w:rsid w:val="00264E9E"/>
    <w:pPr>
      <w:numPr>
        <w:ilvl w:val="4"/>
      </w:num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64E9E"/>
    <w:pPr>
      <w:numPr>
        <w:ilvl w:val="5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E9E"/>
    <w:pPr>
      <w:numPr>
        <w:ilvl w:val="6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4E9E"/>
    <w:pPr>
      <w:numPr>
        <w:ilvl w:val="7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4E9E"/>
    <w:pPr>
      <w:numPr>
        <w:ilvl w:val="8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4E9E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804F0A"/>
    <w:pPr>
      <w:numPr>
        <w:numId w:val="1"/>
      </w:numPr>
      <w:pBdr>
        <w:bottom w:val="single" w:sz="4" w:space="1" w:color="auto"/>
      </w:pBdr>
      <w:contextualSpacing/>
      <w:jc w:val="left"/>
    </w:pPr>
    <w:rPr>
      <w:rFonts w:eastAsiaTheme="majorEastAsia" w:cstheme="majorBidi"/>
      <w:noProof/>
      <w:spacing w:val="5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4F0A"/>
    <w:rPr>
      <w:rFonts w:ascii="Times New Roman" w:eastAsiaTheme="majorEastAsia" w:hAnsi="Times New Roman" w:cstheme="majorBidi"/>
      <w:noProof/>
      <w:spacing w:val="5"/>
      <w:sz w:val="3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04F0A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64E9E"/>
    <w:rPr>
      <w:rFonts w:asciiTheme="majorHAnsi" w:eastAsiaTheme="majorEastAsia" w:hAnsiTheme="majorHAnsi" w:cstheme="majorBidi"/>
      <w:b/>
      <w:bCs/>
      <w:i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E9E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E9E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4E9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4E9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64E9E"/>
    <w:pPr>
      <w:tabs>
        <w:tab w:val="left" w:pos="440"/>
        <w:tab w:val="right" w:leader="dot" w:pos="9016"/>
      </w:tabs>
      <w:spacing w:before="360"/>
      <w:jc w:val="left"/>
    </w:pPr>
    <w:rPr>
      <w:rFonts w:asciiTheme="majorHAnsi" w:hAnsiTheme="majorHAnsi"/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64E9E"/>
    <w:pPr>
      <w:spacing w:before="240"/>
      <w:jc w:val="left"/>
    </w:pPr>
    <w:rPr>
      <w:rFonts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64E9E"/>
    <w:pPr>
      <w:ind w:left="220"/>
      <w:jc w:val="left"/>
    </w:pPr>
    <w:rPr>
      <w:rFonts w:cstheme="minorHAnsi"/>
      <w:sz w:val="20"/>
      <w:szCs w:val="2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64E9E"/>
    <w:pPr>
      <w:spacing w:after="600" w:line="240" w:lineRule="auto"/>
      <w:jc w:val="right"/>
    </w:pPr>
    <w:rPr>
      <w:rFonts w:eastAsiaTheme="majorEastAsia" w:cstheme="majorBidi"/>
      <w:i/>
      <w:iCs/>
      <w:spacing w:val="13"/>
      <w:sz w:val="22"/>
      <w:szCs w:val="24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264E9E"/>
    <w:rPr>
      <w:rFonts w:ascii="Times New Roman" w:eastAsiaTheme="majorEastAsia" w:hAnsi="Times New Roman" w:cstheme="majorBidi"/>
      <w:i/>
      <w:iCs/>
      <w:spacing w:val="13"/>
      <w:szCs w:val="24"/>
      <w:u w:val="single"/>
    </w:rPr>
  </w:style>
  <w:style w:type="character" w:styleId="Strong">
    <w:name w:val="Strong"/>
    <w:uiPriority w:val="22"/>
    <w:qFormat/>
    <w:rsid w:val="00264E9E"/>
    <w:rPr>
      <w:b/>
      <w:bCs/>
    </w:rPr>
  </w:style>
  <w:style w:type="character" w:styleId="Emphasis">
    <w:name w:val="Emphasis"/>
    <w:uiPriority w:val="20"/>
    <w:qFormat/>
    <w:rsid w:val="00264E9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264E9E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64E9E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64E9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64E9E"/>
    <w:pPr>
      <w:spacing w:before="20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264E9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4E9E"/>
    <w:pPr>
      <w:pBdr>
        <w:bottom w:val="single" w:sz="4" w:space="1" w:color="auto"/>
      </w:pBdr>
      <w:spacing w:before="200" w:after="280"/>
      <w:ind w:left="1008" w:right="1152"/>
    </w:pPr>
    <w:rPr>
      <w:rFonts w:asciiTheme="minorHAnsi" w:hAnsiTheme="minorHAnsi"/>
      <w:b/>
      <w:bCs/>
      <w:i/>
      <w:iCs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4E9E"/>
    <w:rPr>
      <w:b/>
      <w:bCs/>
      <w:i/>
      <w:iCs/>
    </w:rPr>
  </w:style>
  <w:style w:type="character" w:styleId="SubtleEmphasis">
    <w:name w:val="Subtle Emphasis"/>
    <w:uiPriority w:val="19"/>
    <w:qFormat/>
    <w:rsid w:val="00264E9E"/>
    <w:rPr>
      <w:i/>
      <w:iCs/>
    </w:rPr>
  </w:style>
  <w:style w:type="character" w:styleId="IntenseEmphasis">
    <w:name w:val="Intense Emphasis"/>
    <w:uiPriority w:val="21"/>
    <w:qFormat/>
    <w:rsid w:val="00264E9E"/>
    <w:rPr>
      <w:b/>
      <w:bCs/>
    </w:rPr>
  </w:style>
  <w:style w:type="character" w:styleId="SubtleReference">
    <w:name w:val="Subtle Reference"/>
    <w:uiPriority w:val="31"/>
    <w:qFormat/>
    <w:rsid w:val="00264E9E"/>
    <w:rPr>
      <w:smallCaps/>
    </w:rPr>
  </w:style>
  <w:style w:type="character" w:styleId="IntenseReference">
    <w:name w:val="Intense Reference"/>
    <w:uiPriority w:val="32"/>
    <w:qFormat/>
    <w:rsid w:val="00264E9E"/>
    <w:rPr>
      <w:smallCaps/>
      <w:spacing w:val="5"/>
      <w:u w:val="single"/>
    </w:rPr>
  </w:style>
  <w:style w:type="character" w:styleId="BookTitle">
    <w:name w:val="Book Title"/>
    <w:uiPriority w:val="33"/>
    <w:qFormat/>
    <w:rsid w:val="00264E9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4E9E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804F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04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F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F0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F0A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F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9E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4E9E"/>
    <w:pPr>
      <w:numPr>
        <w:ilvl w:val="1"/>
        <w:numId w:val="1"/>
      </w:numPr>
      <w:spacing w:before="480"/>
      <w:ind w:left="576"/>
      <w:contextualSpacing/>
      <w:outlineLvl w:val="0"/>
    </w:pPr>
    <w:rPr>
      <w:rFonts w:eastAsiaTheme="majorEastAsia" w:cstheme="majorBidi"/>
      <w:b/>
      <w:bCs/>
      <w:sz w:val="30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804F0A"/>
    <w:pPr>
      <w:numPr>
        <w:ilvl w:val="2"/>
      </w:numPr>
      <w:outlineLvl w:val="1"/>
    </w:pPr>
  </w:style>
  <w:style w:type="paragraph" w:styleId="Heading3">
    <w:name w:val="heading 3"/>
    <w:basedOn w:val="Heading1"/>
    <w:next w:val="Normal"/>
    <w:link w:val="Heading3Char"/>
    <w:autoRedefine/>
    <w:uiPriority w:val="9"/>
    <w:unhideWhenUsed/>
    <w:qFormat/>
    <w:rsid w:val="00264E9E"/>
    <w:pPr>
      <w:numPr>
        <w:ilvl w:val="3"/>
      </w:numPr>
      <w:outlineLvl w:val="2"/>
    </w:pPr>
  </w:style>
  <w:style w:type="paragraph" w:styleId="Heading4">
    <w:name w:val="heading 4"/>
    <w:basedOn w:val="Heading1"/>
    <w:next w:val="Normal"/>
    <w:link w:val="Heading4Char"/>
    <w:autoRedefine/>
    <w:uiPriority w:val="9"/>
    <w:unhideWhenUsed/>
    <w:qFormat/>
    <w:rsid w:val="00264E9E"/>
    <w:pPr>
      <w:numPr>
        <w:ilvl w:val="4"/>
      </w:num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64E9E"/>
    <w:pPr>
      <w:numPr>
        <w:ilvl w:val="5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E9E"/>
    <w:pPr>
      <w:numPr>
        <w:ilvl w:val="6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4E9E"/>
    <w:pPr>
      <w:numPr>
        <w:ilvl w:val="7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4E9E"/>
    <w:pPr>
      <w:numPr>
        <w:ilvl w:val="8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4E9E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804F0A"/>
    <w:pPr>
      <w:numPr>
        <w:numId w:val="1"/>
      </w:numPr>
      <w:pBdr>
        <w:bottom w:val="single" w:sz="4" w:space="1" w:color="auto"/>
      </w:pBdr>
      <w:contextualSpacing/>
      <w:jc w:val="left"/>
    </w:pPr>
    <w:rPr>
      <w:rFonts w:eastAsiaTheme="majorEastAsia" w:cstheme="majorBidi"/>
      <w:noProof/>
      <w:spacing w:val="5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4F0A"/>
    <w:rPr>
      <w:rFonts w:ascii="Times New Roman" w:eastAsiaTheme="majorEastAsia" w:hAnsi="Times New Roman" w:cstheme="majorBidi"/>
      <w:noProof/>
      <w:spacing w:val="5"/>
      <w:sz w:val="3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04F0A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64E9E"/>
    <w:rPr>
      <w:rFonts w:asciiTheme="majorHAnsi" w:eastAsiaTheme="majorEastAsia" w:hAnsiTheme="majorHAnsi" w:cstheme="majorBidi"/>
      <w:b/>
      <w:bCs/>
      <w:i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E9E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E9E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4E9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4E9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64E9E"/>
    <w:pPr>
      <w:tabs>
        <w:tab w:val="left" w:pos="440"/>
        <w:tab w:val="right" w:leader="dot" w:pos="9016"/>
      </w:tabs>
      <w:spacing w:before="360"/>
      <w:jc w:val="left"/>
    </w:pPr>
    <w:rPr>
      <w:rFonts w:asciiTheme="majorHAnsi" w:hAnsiTheme="majorHAnsi"/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64E9E"/>
    <w:pPr>
      <w:spacing w:before="240"/>
      <w:jc w:val="left"/>
    </w:pPr>
    <w:rPr>
      <w:rFonts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64E9E"/>
    <w:pPr>
      <w:ind w:left="220"/>
      <w:jc w:val="left"/>
    </w:pPr>
    <w:rPr>
      <w:rFonts w:cstheme="minorHAnsi"/>
      <w:sz w:val="20"/>
      <w:szCs w:val="2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64E9E"/>
    <w:pPr>
      <w:spacing w:after="600" w:line="240" w:lineRule="auto"/>
      <w:jc w:val="right"/>
    </w:pPr>
    <w:rPr>
      <w:rFonts w:eastAsiaTheme="majorEastAsia" w:cstheme="majorBidi"/>
      <w:i/>
      <w:iCs/>
      <w:spacing w:val="13"/>
      <w:sz w:val="22"/>
      <w:szCs w:val="24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264E9E"/>
    <w:rPr>
      <w:rFonts w:ascii="Times New Roman" w:eastAsiaTheme="majorEastAsia" w:hAnsi="Times New Roman" w:cstheme="majorBidi"/>
      <w:i/>
      <w:iCs/>
      <w:spacing w:val="13"/>
      <w:szCs w:val="24"/>
      <w:u w:val="single"/>
    </w:rPr>
  </w:style>
  <w:style w:type="character" w:styleId="Strong">
    <w:name w:val="Strong"/>
    <w:uiPriority w:val="22"/>
    <w:qFormat/>
    <w:rsid w:val="00264E9E"/>
    <w:rPr>
      <w:b/>
      <w:bCs/>
    </w:rPr>
  </w:style>
  <w:style w:type="character" w:styleId="Emphasis">
    <w:name w:val="Emphasis"/>
    <w:uiPriority w:val="20"/>
    <w:qFormat/>
    <w:rsid w:val="00264E9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264E9E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64E9E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64E9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64E9E"/>
    <w:pPr>
      <w:spacing w:before="20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264E9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4E9E"/>
    <w:pPr>
      <w:pBdr>
        <w:bottom w:val="single" w:sz="4" w:space="1" w:color="auto"/>
      </w:pBdr>
      <w:spacing w:before="200" w:after="280"/>
      <w:ind w:left="1008" w:right="1152"/>
    </w:pPr>
    <w:rPr>
      <w:rFonts w:asciiTheme="minorHAnsi" w:hAnsiTheme="minorHAnsi"/>
      <w:b/>
      <w:bCs/>
      <w:i/>
      <w:iCs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4E9E"/>
    <w:rPr>
      <w:b/>
      <w:bCs/>
      <w:i/>
      <w:iCs/>
    </w:rPr>
  </w:style>
  <w:style w:type="character" w:styleId="SubtleEmphasis">
    <w:name w:val="Subtle Emphasis"/>
    <w:uiPriority w:val="19"/>
    <w:qFormat/>
    <w:rsid w:val="00264E9E"/>
    <w:rPr>
      <w:i/>
      <w:iCs/>
    </w:rPr>
  </w:style>
  <w:style w:type="character" w:styleId="IntenseEmphasis">
    <w:name w:val="Intense Emphasis"/>
    <w:uiPriority w:val="21"/>
    <w:qFormat/>
    <w:rsid w:val="00264E9E"/>
    <w:rPr>
      <w:b/>
      <w:bCs/>
    </w:rPr>
  </w:style>
  <w:style w:type="character" w:styleId="SubtleReference">
    <w:name w:val="Subtle Reference"/>
    <w:uiPriority w:val="31"/>
    <w:qFormat/>
    <w:rsid w:val="00264E9E"/>
    <w:rPr>
      <w:smallCaps/>
    </w:rPr>
  </w:style>
  <w:style w:type="character" w:styleId="IntenseReference">
    <w:name w:val="Intense Reference"/>
    <w:uiPriority w:val="32"/>
    <w:qFormat/>
    <w:rsid w:val="00264E9E"/>
    <w:rPr>
      <w:smallCaps/>
      <w:spacing w:val="5"/>
      <w:u w:val="single"/>
    </w:rPr>
  </w:style>
  <w:style w:type="character" w:styleId="BookTitle">
    <w:name w:val="Book Title"/>
    <w:uiPriority w:val="33"/>
    <w:qFormat/>
    <w:rsid w:val="00264E9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4E9E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804F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04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F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F0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F0A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F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Strathclyde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</dc:creator>
  <cp:lastModifiedBy>lablocaladmin</cp:lastModifiedBy>
  <cp:revision>2</cp:revision>
  <dcterms:created xsi:type="dcterms:W3CDTF">2014-03-17T13:40:00Z</dcterms:created>
  <dcterms:modified xsi:type="dcterms:W3CDTF">2014-03-17T13:40:00Z</dcterms:modified>
</cp:coreProperties>
</file>